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22" w:rsidRDefault="00596256">
      <w:pPr>
        <w:rPr>
          <w:b/>
          <w:u w:val="single"/>
        </w:rPr>
      </w:pPr>
      <w:r w:rsidRPr="00596256">
        <w:rPr>
          <w:b/>
          <w:u w:val="single"/>
        </w:rPr>
        <w:t>Accelerated Reader: progress so far…</w:t>
      </w:r>
    </w:p>
    <w:p w:rsidR="00596256" w:rsidRDefault="00596256">
      <w:r>
        <w:t>The school has been operating the Accelerated Reader programme since September; therefore it has been going for a 4 month period.</w:t>
      </w:r>
    </w:p>
    <w:p w:rsidR="00596256" w:rsidRDefault="003B1898">
      <w:r>
        <w:t>Each pupil has their own reading book, as well as 1:1 reading sessions throughout the week. In addition to this, school gifted each child their own reading book at Christmas.</w:t>
      </w:r>
    </w:p>
    <w:p w:rsidR="003B1898" w:rsidRDefault="003B1898">
      <w:r>
        <w:t>The table below shows the progress made by our Pupil Premium cohort, as well as add</w:t>
      </w:r>
      <w:r w:rsidR="005E3909">
        <w:t>itional information for our CLA.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540"/>
        <w:gridCol w:w="1579"/>
        <w:gridCol w:w="1579"/>
        <w:gridCol w:w="1580"/>
        <w:gridCol w:w="1369"/>
      </w:tblGrid>
      <w:tr w:rsidR="00577418" w:rsidTr="00577418">
        <w:tc>
          <w:tcPr>
            <w:tcW w:w="1369" w:type="dxa"/>
            <w:shd w:val="clear" w:color="auto" w:fill="BDD6EE" w:themeFill="accent1" w:themeFillTint="66"/>
          </w:tcPr>
          <w:p w:rsidR="00577418" w:rsidRPr="00577418" w:rsidRDefault="00577418">
            <w:pPr>
              <w:rPr>
                <w:sz w:val="20"/>
                <w:szCs w:val="20"/>
              </w:rPr>
            </w:pPr>
            <w:r w:rsidRPr="00577418">
              <w:rPr>
                <w:sz w:val="20"/>
                <w:szCs w:val="20"/>
              </w:rPr>
              <w:t>Total number of pupils</w:t>
            </w:r>
          </w:p>
        </w:tc>
        <w:tc>
          <w:tcPr>
            <w:tcW w:w="1540" w:type="dxa"/>
            <w:shd w:val="clear" w:color="auto" w:fill="BDD6EE" w:themeFill="accent1" w:themeFillTint="66"/>
          </w:tcPr>
          <w:p w:rsidR="00577418" w:rsidRPr="00577418" w:rsidRDefault="00577418" w:rsidP="00577418">
            <w:pPr>
              <w:jc w:val="center"/>
              <w:rPr>
                <w:sz w:val="20"/>
                <w:szCs w:val="20"/>
              </w:rPr>
            </w:pPr>
            <w:r w:rsidRPr="00577418">
              <w:rPr>
                <w:sz w:val="20"/>
                <w:szCs w:val="20"/>
              </w:rPr>
              <w:t>No progress made</w:t>
            </w:r>
          </w:p>
        </w:tc>
        <w:tc>
          <w:tcPr>
            <w:tcW w:w="1579" w:type="dxa"/>
            <w:shd w:val="clear" w:color="auto" w:fill="BDD6EE" w:themeFill="accent1" w:themeFillTint="66"/>
          </w:tcPr>
          <w:p w:rsidR="00577418" w:rsidRPr="00577418" w:rsidRDefault="00577418" w:rsidP="00577418">
            <w:pPr>
              <w:jc w:val="center"/>
              <w:rPr>
                <w:sz w:val="20"/>
                <w:szCs w:val="20"/>
              </w:rPr>
            </w:pPr>
            <w:r w:rsidRPr="00577418">
              <w:rPr>
                <w:sz w:val="20"/>
                <w:szCs w:val="20"/>
              </w:rPr>
              <w:t>1 – 11 months progress</w:t>
            </w:r>
          </w:p>
        </w:tc>
        <w:tc>
          <w:tcPr>
            <w:tcW w:w="1579" w:type="dxa"/>
            <w:shd w:val="clear" w:color="auto" w:fill="BDD6EE" w:themeFill="accent1" w:themeFillTint="66"/>
          </w:tcPr>
          <w:p w:rsidR="00577418" w:rsidRPr="00577418" w:rsidRDefault="00577418" w:rsidP="00577418">
            <w:pPr>
              <w:jc w:val="center"/>
              <w:rPr>
                <w:sz w:val="20"/>
                <w:szCs w:val="20"/>
              </w:rPr>
            </w:pPr>
            <w:r w:rsidRPr="00577418">
              <w:rPr>
                <w:sz w:val="20"/>
                <w:szCs w:val="20"/>
              </w:rPr>
              <w:t>12 – 18 months progress</w:t>
            </w:r>
          </w:p>
        </w:tc>
        <w:tc>
          <w:tcPr>
            <w:tcW w:w="1580" w:type="dxa"/>
            <w:shd w:val="clear" w:color="auto" w:fill="BDD6EE" w:themeFill="accent1" w:themeFillTint="66"/>
          </w:tcPr>
          <w:p w:rsidR="00577418" w:rsidRPr="00577418" w:rsidRDefault="00577418" w:rsidP="00577418">
            <w:pPr>
              <w:jc w:val="center"/>
              <w:rPr>
                <w:sz w:val="20"/>
                <w:szCs w:val="20"/>
              </w:rPr>
            </w:pPr>
            <w:r w:rsidRPr="00577418">
              <w:rPr>
                <w:sz w:val="20"/>
                <w:szCs w:val="20"/>
              </w:rPr>
              <w:t>19 – 37 months progress</w:t>
            </w:r>
          </w:p>
        </w:tc>
        <w:tc>
          <w:tcPr>
            <w:tcW w:w="1369" w:type="dxa"/>
            <w:shd w:val="clear" w:color="auto" w:fill="BDD6EE" w:themeFill="accent1" w:themeFillTint="66"/>
          </w:tcPr>
          <w:p w:rsidR="00577418" w:rsidRPr="00577418" w:rsidRDefault="00ED1E1E" w:rsidP="00577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curricula</w:t>
            </w:r>
          </w:p>
        </w:tc>
      </w:tr>
      <w:tr w:rsidR="00577418" w:rsidTr="00577418">
        <w:tc>
          <w:tcPr>
            <w:tcW w:w="1369" w:type="dxa"/>
            <w:shd w:val="clear" w:color="auto" w:fill="BDD6EE" w:themeFill="accent1" w:themeFillTint="66"/>
          </w:tcPr>
          <w:p w:rsidR="00577418" w:rsidRDefault="00577418" w:rsidP="00577418">
            <w:pPr>
              <w:jc w:val="center"/>
            </w:pPr>
            <w:r>
              <w:t>Pupil Premium</w:t>
            </w:r>
          </w:p>
        </w:tc>
        <w:tc>
          <w:tcPr>
            <w:tcW w:w="7647" w:type="dxa"/>
            <w:gridSpan w:val="5"/>
          </w:tcPr>
          <w:p w:rsidR="00577418" w:rsidRDefault="00577418" w:rsidP="00577418">
            <w:pPr>
              <w:jc w:val="center"/>
            </w:pPr>
          </w:p>
        </w:tc>
      </w:tr>
      <w:tr w:rsidR="00577418" w:rsidTr="00577418">
        <w:tc>
          <w:tcPr>
            <w:tcW w:w="1369" w:type="dxa"/>
          </w:tcPr>
          <w:p w:rsidR="00577418" w:rsidRDefault="00577418" w:rsidP="00577418">
            <w:pPr>
              <w:jc w:val="center"/>
            </w:pPr>
            <w:r>
              <w:t>47</w:t>
            </w:r>
          </w:p>
        </w:tc>
        <w:tc>
          <w:tcPr>
            <w:tcW w:w="1540" w:type="dxa"/>
          </w:tcPr>
          <w:p w:rsidR="00577418" w:rsidRDefault="00577418" w:rsidP="00577418">
            <w:pPr>
              <w:jc w:val="center"/>
            </w:pPr>
            <w:r>
              <w:t>10 (21%)</w:t>
            </w:r>
          </w:p>
        </w:tc>
        <w:tc>
          <w:tcPr>
            <w:tcW w:w="1579" w:type="dxa"/>
          </w:tcPr>
          <w:p w:rsidR="00577418" w:rsidRDefault="00577418" w:rsidP="00577418">
            <w:pPr>
              <w:jc w:val="center"/>
            </w:pPr>
            <w:r>
              <w:t>17 (36%)</w:t>
            </w:r>
          </w:p>
        </w:tc>
        <w:tc>
          <w:tcPr>
            <w:tcW w:w="1579" w:type="dxa"/>
          </w:tcPr>
          <w:p w:rsidR="00577418" w:rsidRDefault="00577418" w:rsidP="00577418">
            <w:pPr>
              <w:jc w:val="center"/>
            </w:pPr>
            <w:r>
              <w:t>9 (19%)</w:t>
            </w:r>
          </w:p>
        </w:tc>
        <w:tc>
          <w:tcPr>
            <w:tcW w:w="1580" w:type="dxa"/>
          </w:tcPr>
          <w:p w:rsidR="00577418" w:rsidRDefault="00577418" w:rsidP="00577418">
            <w:pPr>
              <w:jc w:val="center"/>
            </w:pPr>
            <w:r>
              <w:t>5 (11%)</w:t>
            </w:r>
          </w:p>
        </w:tc>
        <w:tc>
          <w:tcPr>
            <w:tcW w:w="1369" w:type="dxa"/>
          </w:tcPr>
          <w:p w:rsidR="00577418" w:rsidRDefault="00577418" w:rsidP="00577418">
            <w:pPr>
              <w:jc w:val="center"/>
            </w:pPr>
            <w:r>
              <w:t>6</w:t>
            </w:r>
            <w:r w:rsidR="00ED1E1E">
              <w:t xml:space="preserve"> #</w:t>
            </w:r>
            <w:r>
              <w:t xml:space="preserve"> (13%)</w:t>
            </w:r>
          </w:p>
        </w:tc>
      </w:tr>
      <w:tr w:rsidR="00ED1E1E" w:rsidTr="00AD329C">
        <w:tc>
          <w:tcPr>
            <w:tcW w:w="4488" w:type="dxa"/>
            <w:gridSpan w:val="3"/>
          </w:tcPr>
          <w:p w:rsidR="00ED1E1E" w:rsidRDefault="00ED1E1E" w:rsidP="00577418">
            <w:pPr>
              <w:jc w:val="center"/>
            </w:pPr>
            <w:r>
              <w:t>Pupils participating who have made progress</w:t>
            </w:r>
          </w:p>
        </w:tc>
        <w:tc>
          <w:tcPr>
            <w:tcW w:w="4528" w:type="dxa"/>
            <w:gridSpan w:val="3"/>
          </w:tcPr>
          <w:p w:rsidR="00ED1E1E" w:rsidRDefault="00ED1E1E" w:rsidP="00577418">
            <w:pPr>
              <w:jc w:val="center"/>
            </w:pPr>
            <w:r>
              <w:t>76%</w:t>
            </w:r>
          </w:p>
        </w:tc>
      </w:tr>
      <w:tr w:rsidR="00577418" w:rsidTr="00577418">
        <w:tc>
          <w:tcPr>
            <w:tcW w:w="1369" w:type="dxa"/>
            <w:shd w:val="clear" w:color="auto" w:fill="BDD6EE" w:themeFill="accent1" w:themeFillTint="66"/>
          </w:tcPr>
          <w:p w:rsidR="00577418" w:rsidRDefault="00577418" w:rsidP="00577418">
            <w:pPr>
              <w:jc w:val="center"/>
            </w:pPr>
            <w:r>
              <w:t>CLA</w:t>
            </w:r>
          </w:p>
        </w:tc>
        <w:tc>
          <w:tcPr>
            <w:tcW w:w="7647" w:type="dxa"/>
            <w:gridSpan w:val="5"/>
          </w:tcPr>
          <w:p w:rsidR="00577418" w:rsidRDefault="00577418" w:rsidP="00577418">
            <w:pPr>
              <w:jc w:val="center"/>
            </w:pPr>
          </w:p>
        </w:tc>
      </w:tr>
      <w:tr w:rsidR="00577418" w:rsidTr="00577418">
        <w:tc>
          <w:tcPr>
            <w:tcW w:w="1369" w:type="dxa"/>
          </w:tcPr>
          <w:p w:rsidR="00577418" w:rsidRDefault="00577418" w:rsidP="00577418">
            <w:pPr>
              <w:jc w:val="center"/>
            </w:pPr>
            <w:r>
              <w:t>6</w:t>
            </w:r>
          </w:p>
        </w:tc>
        <w:tc>
          <w:tcPr>
            <w:tcW w:w="1540" w:type="dxa"/>
          </w:tcPr>
          <w:p w:rsidR="00577418" w:rsidRDefault="00577418" w:rsidP="00577418">
            <w:pPr>
              <w:jc w:val="center"/>
            </w:pPr>
            <w:r>
              <w:t>0</w:t>
            </w:r>
          </w:p>
        </w:tc>
        <w:tc>
          <w:tcPr>
            <w:tcW w:w="1579" w:type="dxa"/>
          </w:tcPr>
          <w:p w:rsidR="00577418" w:rsidRDefault="00577418" w:rsidP="00577418">
            <w:pPr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577418" w:rsidRDefault="00577418" w:rsidP="00577418">
            <w:pPr>
              <w:jc w:val="center"/>
            </w:pPr>
            <w:r>
              <w:t>1</w:t>
            </w:r>
          </w:p>
        </w:tc>
        <w:tc>
          <w:tcPr>
            <w:tcW w:w="1580" w:type="dxa"/>
          </w:tcPr>
          <w:p w:rsidR="00577418" w:rsidRDefault="00577418" w:rsidP="00577418">
            <w:pPr>
              <w:jc w:val="center"/>
            </w:pPr>
          </w:p>
        </w:tc>
        <w:tc>
          <w:tcPr>
            <w:tcW w:w="1369" w:type="dxa"/>
          </w:tcPr>
          <w:p w:rsidR="00577418" w:rsidRDefault="00577418" w:rsidP="00577418">
            <w:pPr>
              <w:jc w:val="center"/>
            </w:pPr>
            <w:r>
              <w:t>1*</w:t>
            </w:r>
          </w:p>
        </w:tc>
      </w:tr>
      <w:tr w:rsidR="00ED1E1E" w:rsidTr="000D403D">
        <w:tc>
          <w:tcPr>
            <w:tcW w:w="4488" w:type="dxa"/>
            <w:gridSpan w:val="3"/>
          </w:tcPr>
          <w:p w:rsidR="00ED1E1E" w:rsidRDefault="00ED1E1E" w:rsidP="00577418">
            <w:pPr>
              <w:jc w:val="center"/>
            </w:pPr>
            <w:r>
              <w:t>CLA p</w:t>
            </w:r>
            <w:r>
              <w:t>upils participating who have made progress</w:t>
            </w:r>
          </w:p>
        </w:tc>
        <w:tc>
          <w:tcPr>
            <w:tcW w:w="4528" w:type="dxa"/>
            <w:gridSpan w:val="3"/>
          </w:tcPr>
          <w:p w:rsidR="00ED1E1E" w:rsidRDefault="00ED1E1E" w:rsidP="00577418">
            <w:pPr>
              <w:jc w:val="center"/>
            </w:pPr>
            <w:r>
              <w:t>100%</w:t>
            </w:r>
          </w:p>
        </w:tc>
      </w:tr>
    </w:tbl>
    <w:p w:rsidR="005E3909" w:rsidRDefault="005E3909"/>
    <w:p w:rsidR="00ED1E1E" w:rsidRDefault="00ED1E1E">
      <w:r>
        <w:t xml:space="preserve"># </w:t>
      </w:r>
      <w:proofErr w:type="gramStart"/>
      <w:r>
        <w:t>the</w:t>
      </w:r>
      <w:proofErr w:type="gramEnd"/>
      <w:r>
        <w:t xml:space="preserve"> 6 pupils who didn’t participate:</w:t>
      </w:r>
    </w:p>
    <w:p w:rsidR="00ED1E1E" w:rsidRDefault="00ED1E1E" w:rsidP="00ED1E1E">
      <w:pPr>
        <w:pStyle w:val="ListParagraph"/>
        <w:numPr>
          <w:ilvl w:val="0"/>
          <w:numId w:val="1"/>
        </w:numPr>
      </w:pPr>
      <w:r>
        <w:t>3 are educated by NT and AS at home</w:t>
      </w:r>
    </w:p>
    <w:p w:rsidR="00ED1E1E" w:rsidRDefault="00ED1E1E" w:rsidP="00ED1E1E">
      <w:pPr>
        <w:pStyle w:val="ListParagraph"/>
        <w:numPr>
          <w:ilvl w:val="0"/>
          <w:numId w:val="1"/>
        </w:numPr>
      </w:pPr>
      <w:r>
        <w:t>1 was in hospital, but is now back with us and is participating in AR</w:t>
      </w:r>
    </w:p>
    <w:p w:rsidR="00ED1E1E" w:rsidRDefault="00ED1E1E" w:rsidP="00ED1E1E">
      <w:pPr>
        <w:pStyle w:val="ListParagraph"/>
        <w:numPr>
          <w:ilvl w:val="0"/>
          <w:numId w:val="1"/>
        </w:numPr>
      </w:pPr>
      <w:r>
        <w:t>1 refused to participate</w:t>
      </w:r>
    </w:p>
    <w:p w:rsidR="00ED1E1E" w:rsidRDefault="00ED1E1E" w:rsidP="00ED1E1E">
      <w:pPr>
        <w:pStyle w:val="ListParagraph"/>
        <w:numPr>
          <w:ilvl w:val="0"/>
          <w:numId w:val="1"/>
        </w:numPr>
      </w:pPr>
      <w:r>
        <w:t>1 has an alternative curriculum in place</w:t>
      </w:r>
      <w:bookmarkStart w:id="0" w:name="_GoBack"/>
      <w:bookmarkEnd w:id="0"/>
    </w:p>
    <w:p w:rsidR="003B1898" w:rsidRDefault="00577418">
      <w:r>
        <w:t xml:space="preserve">*the pupil who didn’t engage </w:t>
      </w:r>
      <w:r w:rsidR="006629BB">
        <w:t>is on our role, but does not attend our school. School works with NT and AS who educate him at his home, partly funded by PP.</w:t>
      </w:r>
    </w:p>
    <w:sectPr w:rsidR="003B1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A5830"/>
    <w:multiLevelType w:val="hybridMultilevel"/>
    <w:tmpl w:val="ED8A8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56"/>
    <w:rsid w:val="003B1898"/>
    <w:rsid w:val="00577418"/>
    <w:rsid w:val="00596256"/>
    <w:rsid w:val="005E3909"/>
    <w:rsid w:val="006629BB"/>
    <w:rsid w:val="00853C22"/>
    <w:rsid w:val="00E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E489"/>
  <w15:chartTrackingRefBased/>
  <w15:docId w15:val="{7050172F-B833-44D1-B2CD-9B9E714D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Hames, Daniel</dc:creator>
  <cp:keywords/>
  <dc:description/>
  <cp:lastModifiedBy>Hames, Daniel</cp:lastModifiedBy>
  <cp:revision>2</cp:revision>
  <dcterms:created xsi:type="dcterms:W3CDTF">2018-01-11T14:13:00Z</dcterms:created>
  <dcterms:modified xsi:type="dcterms:W3CDTF">2018-01-11T15:28:00Z</dcterms:modified>
</cp:coreProperties>
</file>