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0A" w:rsidRDefault="00E96486">
      <w:pPr>
        <w:pStyle w:val="Title"/>
      </w:pPr>
      <w:bookmarkStart w:id="0" w:name="_GoBack"/>
      <w:bookmarkEnd w:id="0"/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22770A" w:rsidRDefault="00E96486">
      <w:pPr>
        <w:pStyle w:val="Heading1"/>
      </w:pPr>
      <w:r>
        <w:t>In Attendance Approval of Minutes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Nathan Mcloughlin-Dineley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Molly Malcolm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Ella-Mai  Wallbank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Nathan Hastings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 xml:space="preserve">Mark Kennard 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Harry Lofthouse</w:t>
      </w:r>
    </w:p>
    <w:p w:rsidR="0022770A" w:rsidRDefault="00E96486">
      <w:pPr>
        <w:pStyle w:val="ListParagraph"/>
        <w:numPr>
          <w:ilvl w:val="0"/>
          <w:numId w:val="11"/>
        </w:numPr>
        <w:jc w:val="both"/>
        <w:textAlignment w:val="auto"/>
      </w:pPr>
      <w:r>
        <w:t>BJ Borrows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Brandon</w:t>
      </w:r>
      <w:r>
        <w:t xml:space="preserve"> Alker 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Daniel Timol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Joshua Parr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Patrick Kay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Lewis Dickinson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Lewis Tommony</w:t>
      </w:r>
    </w:p>
    <w:p w:rsidR="0022770A" w:rsidRDefault="00E96486">
      <w:pPr>
        <w:pStyle w:val="Heading1"/>
      </w:pPr>
      <w:r>
        <w:t xml:space="preserve">School Council Recommendations 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 xml:space="preserve">Welcome and apologies 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School vending machines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Water machines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New pool room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Juice in class rooms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So many respect points equals money in the bank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Argos as well as amazon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Different dispatch trip for ks3 and ks4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World book day 1</w:t>
      </w:r>
      <w:r>
        <w:rPr>
          <w:vertAlign w:val="superscript"/>
        </w:rPr>
        <w:t>st</w:t>
      </w:r>
      <w:r>
        <w:t xml:space="preserve"> March?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Trampolines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 xml:space="preserve">Exercise equipment outside 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Cold toast for ks4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 xml:space="preserve">Drama </w:t>
      </w:r>
    </w:p>
    <w:p w:rsidR="0022770A" w:rsidRDefault="00E96486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22770A" w:rsidRDefault="00E96486">
      <w:r>
        <w:t>Date:</w:t>
      </w:r>
    </w:p>
    <w:p w:rsidR="0022770A" w:rsidRDefault="00E96486">
      <w:r>
        <w:t>Time:</w:t>
      </w:r>
    </w:p>
    <w:p w:rsidR="0022770A" w:rsidRDefault="0022770A"/>
    <w:sectPr w:rsidR="0022770A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6486">
      <w:pPr>
        <w:spacing w:before="0" w:after="0"/>
      </w:pPr>
      <w:r>
        <w:separator/>
      </w:r>
    </w:p>
  </w:endnote>
  <w:endnote w:type="continuationSeparator" w:id="0">
    <w:p w:rsidR="00000000" w:rsidRDefault="00E964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648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E964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9A"/>
    <w:multiLevelType w:val="multilevel"/>
    <w:tmpl w:val="18B4219C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9D36A8"/>
    <w:multiLevelType w:val="multilevel"/>
    <w:tmpl w:val="1C541514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66C4193"/>
    <w:multiLevelType w:val="multilevel"/>
    <w:tmpl w:val="E31E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72E8"/>
    <w:multiLevelType w:val="multilevel"/>
    <w:tmpl w:val="23446906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5311F0"/>
    <w:multiLevelType w:val="multilevel"/>
    <w:tmpl w:val="D58AC13E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9A271D"/>
    <w:multiLevelType w:val="multilevel"/>
    <w:tmpl w:val="709C6A0C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7EA73EC"/>
    <w:multiLevelType w:val="multilevel"/>
    <w:tmpl w:val="C6D08F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C027CA1"/>
    <w:multiLevelType w:val="multilevel"/>
    <w:tmpl w:val="215C51EA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A82647"/>
    <w:multiLevelType w:val="multilevel"/>
    <w:tmpl w:val="4AE82FC6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6CF5"/>
    <w:multiLevelType w:val="multilevel"/>
    <w:tmpl w:val="698C78C4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84A7F8F"/>
    <w:multiLevelType w:val="multilevel"/>
    <w:tmpl w:val="AAFE745E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AE568A0"/>
    <w:multiLevelType w:val="multilevel"/>
    <w:tmpl w:val="240C5E48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770A"/>
    <w:rsid w:val="0022770A"/>
    <w:rsid w:val="00E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6B926-BB82-4A7A-8A6A-D30059F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TA%20meeting%20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Timol</dc:creator>
  <cp:lastModifiedBy>Lucy O'kane</cp:lastModifiedBy>
  <cp:revision>2</cp:revision>
  <dcterms:created xsi:type="dcterms:W3CDTF">2019-09-12T12:17:00Z</dcterms:created>
  <dcterms:modified xsi:type="dcterms:W3CDTF">2019-09-12T12:17:00Z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